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36 vom 23. November 2011</w:t>
      </w:r>
    </w:p>
    <w:p>
      <w:r>
        <w:t>GR Gerichte, 2011-11-23, DE</w:t>
      </w:r>
    </w:p>
    <w:p>
      <w:r>
        <w:rPr>
          <w:b/>
        </w:rPr>
        <w:t xml:space="preserve">Quelle: </w:t>
      </w:r>
      <w:r>
        <w:t>https://mcp.opencaselaw.ch/entscheid/gr_gerichte_SK2 2011 36</w:t>
      </w:r>
    </w:p>
    <w:p>
      <w:r>
        <w:t>FR: GR_GERICHTE SK2 2011 36 du 23 novembre 2011</w:t>
      </w:r>
    </w:p>
    <w:p>
      <w:r>
        <w:t>IT: GR_GERICHTE SK2 2011 36 del 23 novembre 2011</w:t>
      </w:r>
    </w:p>
    <w:p>
      <w:pPr>
        <w:pStyle w:val="Heading2"/>
      </w:pPr>
      <w:r>
        <w:t>Regeste</w:t>
      </w:r>
    </w:p>
    <w:p>
      <w:r>
        <w:t>Ausschluss von der Befragung | Beschwerde gegen StA, Übrige Fälle</w:t>
      </w:r>
    </w:p>
    <w:p>
      <w:pPr>
        <w:pStyle w:val="Heading2"/>
      </w:pPr>
      <w:r>
        <w:t>Erwägungen</w:t>
      </w:r>
    </w:p>
    <w:p>
      <w:r>
        <w:rPr>
          <w:b/>
        </w:rPr>
        <w:t>E. 2</w:t>
      </w:r>
    </w:p>
    <w:p>
      <w:r>
        <w:t>Die Staatsanwaltschaft Graubünden sei anzuweisen, die erste Einver- nahme des Angeschuldigten 1 in Abwesenheit des Angeschuldigten 2 und dessen Rechtsvertretung durchzuführen sowie die Einvernahme des Angeschuldigten 2 ohne Anwesenheit des Angeschuldigten 1 und dessen Rechtsvertretung durchzuführen und die Einvernahme des Angeschuldigten 2 direkt im Anschluss an die Einvernahme des Ange- schuldigten 1 anzusetzen, ohne Unterbrechung. Eventualiter: In jedem Fall sei durch entsprechende Massnahme si- cherzustellen, dass der ersteinzuvernehmende Angeschuldigte 1 oder dessen Rechtsvertretung den zweiteinzuvernehmenden Angeschuldig- ten 2 und seine Rechtsvertretung nicht während der ersten Einver- nahme oder einer allfälligen Pause während der ersten Einvernahme oder zwischen beiden Einvernahmen kontaktieren kann.</w:t>
      </w:r>
    </w:p>
    <w:p>
      <w:r>
        <w:rPr>
          <w:b/>
        </w:rPr>
        <w:t>E. 2.1</w:t>
      </w:r>
    </w:p>
    <w:p>
      <w:r>
        <w:t>Die Beschwerdeführer begründen ihrer Legitimation damit, dass bei einer Zulassung der Mitbeschuldigten eine absolute Anpassung des Aussageverhaltens beider Angeschuldigten und dadurch eine Kollusion all derjenigen Tatbestands- elemente ermöglich würden, die nicht anderweitig, namentlich nicht durch Sach- beweise bewiesen werden könnten. Dadurch werde die Strafuntersuchung emp- findlich gefährdet oder gar vereitelt und die Wahrheitsfindung verunmöglicht. Rechtsanwalt Cavegn, Verteidiger des Mitbeschuldigten Z., stellt sich dagegen auf den Standpunkt, die Privatklägerschaft habe nach der geltenden StPO überhaupt keinen Anspruch darauf, dass eine Einvernahme von Personen unter Ausschluss anderer im Sinne von Art. 146 StPO einer Einvernahme unter Teilnahme der Be- schuldigten nach Art. 147 StPO vorgezogen werde. Es würde dem Sinn und Zweck der StPO denn auch zuwiderlaufen, wenn die Privatklägerschaft der verfah- rensleitenden Behörde Vorschriften über die Art der Einvernahme bzw. deren Er- mittlungen machen könnte. Damit fehle den Beschwerdeführern als Privatstrafklä- ger das Recht auf eine entsprechende Intervention, weshalb auf ihre Beschwerde mangels rechtlich geschützten Interesses nicht einzutreten sei.</w:t>
      </w:r>
    </w:p>
    <w:p>
      <w:r>
        <w:rPr>
          <w:b/>
        </w:rPr>
        <w:t>E. 2.2</w:t>
      </w:r>
    </w:p>
    <w:p>
      <w:r>
        <w:t>Gemäss der Rechtsprechung des Bundesgerichts hat die geschädigte Per- son an der strafrechtlichen Verfolgung und Verurteilung des Beschuldigten grundsätzlich nur ein tatsächliches bzw. mittelbares, nicht aber ein rechtlich ge- schütztes Interesse, da der Strafanspruch allein dem Staat zusteht (BGE 136 IV 29 E. 1.7.2. S. 39). Die Wahrung dieses staatlichen Anspruchs ist demnach primär Sache der Strafverfolgungsbehörde. Allerdings kann sich der Entscheid im Schuldpunkt auf die Beurteilung der Zivilforderung auswirken, auf deren Durchsetzung die geschädigte Person ein rechtlich geschütztes Interesse hat. Die StPO gewährt der geschädigten Person – sofern sie sich als Privatkläger-</w:t>
      </w:r>
    </w:p>
    <w:p>
      <w:r>
        <w:t>Seite 7 — 12 schaft konstituiert – daher das Recht, den Entscheid im Schuld- und im Zivilpunkt anzufechten (Urteil des Bundesgerichts 6B_557/2010 vom 9. März 2011, E. 5.2). Mit der vorliegenden Beschwerde wird nicht ein Entscheid im Schuld- oder im Zivilpunkt angefochten, sondern Anordnungen bzw. eine Verfügung im Zu- sammenhang mit der Einvernahme von beschuldigten Personen, welche die Staatsanwaltschaft in ihrer Funktion als verfahrensleitende Behörde getroffen bzw. erlassen hat. Diese dienen zu nichts anderem als dem Fortgang der Strafunterun- tersuchung und somit der strafrechtlichen Verfolgung. An der strafrechtlichen Ver- folgung an sich hat jedoch der Geschädigte bzw. die Privatklägerschaft dem Ge- sagten nach bloss ein tatsächliches bzw. mittelbares Interesse, nicht aber ein rechtlich geschütztes Interesse, welches für die Beschwerdelegitimation gemäss Art. 382 Abs. 2 StPO verlangt wird.</w:t>
      </w:r>
    </w:p>
    <w:p>
      <w:r>
        <w:rPr>
          <w:b/>
        </w:rPr>
        <w:t>E. 2.3</w:t>
      </w:r>
    </w:p>
    <w:p>
      <w:r>
        <w:t>Sind die Beschwerdeführer in der Sache selbst somit nicht zur Beschwerde legitimiert, so können sie lediglich die Verletzung von Rechten rügen, die ihnen als am Verfahren beteiligte Partei nach dem massgebenden Prozessrecht – das heisst vorliegend der StPO – oder unmittelbar aufgrund der Bundesverfassung (BV; SR 101) oder der Konvention zum Schutze der Menschenrechte und Grund- freiheiten (EMRK; SR 0.101) zukommen. Das erforderliche rechtlich geschützte Interesse besteht diesfalls nicht aus einer Berechtigung in der Sache, sondern aus der Berechtigung, am Verfahren teilzunehmen. Zulässig sind dementsprechend Rügen formeller Natur, die von der Prüfung der Sache selber getrennt werden können. Nicht zu hören sind dagegen Rügen, die im Ergebnis auf eine materielle Überprüfung des angefochtenen Entscheids abzielen (Urteil des Bundesgerichts 1B_246/2011 vom 26. August 2011, E. 1.3). Die Beschwerdeführer rügen vorliegend eine Verletzung von Art. 146 Abs. 1 StPO. Sie machen insbesondere eine Ermessensunterschreitung des Staatsan- waltes geltend, da dieser offenbar davon ausgehe, dass Art. 147 StPO, welcher die Teilnahmerechte der Parteien an der Beweiserhebung regelt, stets den Vor- rang habe gegenüber Art. 146 StPO.</w:t>
      </w:r>
    </w:p>
    <w:p>
      <w:r>
        <w:rPr>
          <w:b/>
        </w:rPr>
        <w:t>E. 2.3.1</w:t>
      </w:r>
    </w:p>
    <w:p>
      <w:r>
        <w:t>Art. 146 Abs. 1 StPO statuiert für alle Verfahrensabschnitte den Grundsatz der getrennten Einvernahme mehrerer Personen. In der Lehre wird überwiegend die Auffassung vertreten, bei Art. 146 Abs. 1 StPO handle es sich um eine Ord- nungsvorschrift (Schmid, Praxiskommentar, N 1 zu Art. 146 StPO; Häring, in: Nig- gli/Heer/Wiprächtiger [Hrsg.], Basler Kommentar, Schweizerische Strafprozess- ordnung, 2010, N 1 zu Art. 146 StPO mit Hinweis auf Jositsch, Grundriss des</w:t>
      </w:r>
    </w:p>
    <w:p>
      <w:r>
        <w:t>Seite 8 — 12 schweizerischen Strafprozessrechts, Zürich 2009, N 292; a.M. Godenzi, in: Do- natsch/Hansjakob/Lieber [Hrsg.], Kommentar zur Schweizerischen Strafprozess- ordnung [StPO], Zürich 2010, N 4 zu Art. 146 StPO, die diese Vorschrift als Gül- tigkeitsvorschrift einstuft). Die Verletzung von Ordnungsvorschriften wird sodann nicht als Verletzung von Vorschriften, welche eigentlich schützenswerte Interessen der Verfahrensbeteiligten sichern, gesehen, sondern lediglich als Missachtung von bloss untergeordneten, im Prinzip allein die Abwicklung des Strafverfahrens si- cherstellenden Regeln (Schmid, Handbuch des schweizerischen Strafprozess- rechts, Zürich 2009, N 796). Unter diesem Blickwinkel wäre für den vorliegenden Fall zu folgern, dass auch bei einer Verletzung von Art. 146 StPO durch die Staatsanwaltschaft keine rechtlich geschützten Interessen der Parteien betroffen sind und somit auch für die Privatklägerschaft keine Beschwerdelegitimation her- geleitet werden kann.</w:t>
      </w:r>
    </w:p>
    <w:p>
      <w:r>
        <w:rPr>
          <w:b/>
        </w:rPr>
        <w:t>E. 2.3.2</w:t>
      </w:r>
    </w:p>
    <w:p>
      <w:r>
        <w:t>Die Ablehnung der Beschwerdelegitimation allein gestützt auf die Qualifizie- rung von Art. 146 StPO als Ordnungsvorschrift greift vorliegend jedoch zu kurz. Vielmehr ist Art. 146 Abs. 1 StPO im Kontext mit Art. 147 StPO, welcher die Teil- nahmerechte der Parteien an Beweiserhebungen regelt, zu beurteilen. Nach Art. 147 Abs. 1 StPO haben die Parteien das Recht, bei Beweiserhebungen durch die Staatsanwaltschaft und die Gerichte anwesend zu sein und einvernommenen Personen Fragen zu stellen (Art. 147 Abs. 1 StPO). Der Einvernahme kommt zweifelsfrei Beweisfunktion zu (Häring, a.a.O., N 6 vor Art. 142–146 StPO), wes- halb die Teilnahmerechte zu beachten sind. Das Recht des Beschuldigten auf eine Konfrontation mit den Belastungszeugen einschliesslich der Möglichkeit zur Stel- lung von Zusatzfragen ergibt sich überdies bereits aus Art. 6 Ziff. 3 lit. d EMRK. Entsprechend ist auch dann, wenn Aussagen von Beschuldigten gegen Mitbe- schuldigte verwendet werden sollen, Letzteren die Teilnahme oder zumindest nachträglich das Konfrontationsrecht zu gewähren (Schmid, Handbuch, N 823 S. 346; ders., Praxiskommentar, N 5 zu Art. 147 StPO; Wohlers, in: Do- natsch/Hansjakob/Lieber [Hrsg.], Kommentar zur Schweizerischen Strafprozess- ordnung [StPO], Zürich 2010, N 2 zu Art. 322 StPO; Häring, a.a.O., N 5 zu Art. 146 StPO). Wenn Art. 146 Abs. 1 StPO den Strafbehörden ermöglicht, die Beschuldigten oder andere Personen getrennt und nacheinander einzuverneh- men, so bedeutet dies nicht, dass die Teilnahmerechte der (Mit-) Beschuldigten oder der anderen Parteien unbeachtlich wären (Godenzi, a.a.O., N 2 zu Art. 146 StPO). Zwischen Art. 146 Abs. 1 StPO und Art. 147 Abs. 1 StPO besteht somit dahingehend ein Spannungsfeld.</w:t>
      </w:r>
    </w:p>
    <w:p>
      <w:r>
        <w:t>Seite 9 — 12 Die Auffassung der Staatsanwaltschaft, dass der Entscheid darüber, ob und inwieweit die Teilnahmerechte von Art. 147 StPO im Zusammenhang mit Art. 146 StPO eingeschränkt werden können, in ihrem freien und durch die Rechtsmittelin- stanz nicht überprüfbaren Ermessen liege (Vernehmlassung der Staatsanwalt- schaft, Ziff. 4, S. 2), greift zu kurz. Die Anwendung von Art. 146 Abs. 1 StPO durch die Strafbehörden ist durchaus einer richterlichen Überprüfung zugänglich, wenn sich eine Partei ihrerseits auf eine Verletzung ihrer Teilnahmerechte berufen kann. Dies stand beispielsweise im Raum bei den Sachverhalten, die den beiden von der Beschwerdeführerin eingelegten Entscheidungen des Obergerichts Zürich (vom 11. Mai 2011, ZR 2011 Nr. 39 S. 102 ff.) bzw. des Obergerichts Aargau (vom 19. Mai 2011, forumpenale 4/2011 S. 208 ff.) zu Grunde lagen. So war es dort je- weils der Mitbeschuldigte, welcher beantragt hatte, bei der Einvernahme des an- deren Mitbeschuldigten teilnehmen zu können, was von der Staatsanwaltschaft abgelehnt worden war und wogegen jeweils Beschwerde erhoben wurde. Die Be- schwerdeführer konnten sich dabei auf das in Art. 147 Abs. 1 StPO stipulierte Teilnahmerecht berufen und geltend machen, durch ihren Ausschluss sei diese ihre rechtlich geschützten Interessen betreffende Norm verletzt worden. Der vorliegende Sachverhalt stellt sich in diesem Punkt gerade anders dar. Sowohl den Beschuldigten als auch der Privatklägerschaft wurde durch die fakul- tativen Vorladungen zu beiden Einvernahmen das Teilnahmerecht der Parteien gemäss Art. 147 StPO gewährt. Die Staatsanwaltschaft hat von der Möglichkeit der getrennten Einvernahme unter Ausschluss des jeweiligen anderen Mitbe- schuldigten, wie sie ihr Art. 146 Abs 1 StPO erlaubt hätte, keinen Gebrauch ge- macht. Inwieweit dieses Vorgehen aus prozessökonomischen Gründen, wie dies die Staatsanwaltschaft geltend macht, und im Hinblick auf die Wahrheitsfindung sinnvoll ist, braucht an dieser Stelle nicht beurteilt zu werden. Massgebend ist, dass die Teilnahmerechte der Beschwerdeführerin nicht tangiert sind, sie aus Art. 146 Abs. 1 StPO jedoch keinen Anspruch ihrerseits darauf ableiten kann, dass die beiden Beschuldigten getrennt einvernommen werden müssten. Die Abwä- gung, ob eine getrennte Einvernahme nach Art. 146 Abs. 1 StPO vorgenommen werden soll, ist – soweit die Teilnahmerechte der Parteien nicht tangiert sind – Sache der verfahrensleitenden Strafbehörde. Gleiches gilt auch hinsichtlich der Frage, inwieweit Massnahmen (beispielsweise im Sinne von Art. 146 Abs. 3 StPO) zur Reduktion der Kollusionsgefahr zu ergreifen sind. Der Privatklägerschaft kommt auch insoweit kein rechtlich geschütztes Interesse an der Aufhebung oder Änderung der angefochtenen Verfügung zu.</w:t>
      </w:r>
    </w:p>
    <w:p>
      <w:r>
        <w:t>Seite 10 — 12</w:t>
      </w:r>
    </w:p>
    <w:p>
      <w:r>
        <w:rPr>
          <w:b/>
        </w:rPr>
        <w:t>E. 2.4</w:t>
      </w:r>
    </w:p>
    <w:p>
      <w:r>
        <w:t>Zusammenfassend ist somit festzuhalten, dass die Privatklägerschaft vor- liegend mangels eines rechtlich geschützten Interesses nicht beschwerdelegiti- miert im Sinne von Art. 382 StPO ist. Auf die Beschwerde ist folglich nicht einzu- treten.</w:t>
      </w:r>
    </w:p>
    <w:p>
      <w:r>
        <w:rPr>
          <w:b/>
        </w:rPr>
        <w:t>E. 3</w:t>
      </w:r>
    </w:p>
    <w:p>
      <w:r>
        <w:t>Gemäss Art. 421 Abs. 1 StPO hat die Strafbehörde im Endentscheid von Amtes wegen über die Kostenfolgen zu befinden, der Kostenentscheid ergeht so- mit grundsätzlich mit der Hauptsache; dieser Grundsatz betrifft nach herrschender Auffassung über den Wortlaut hinaus auch die Entschädigungen (Domeisen, in: Niggli/Heer/Wiprächtiger [Hrsg.], Basler Kommentar, Schweizerische Strafpro- zessordnung, 2010, N 3 zu Art. 421 StPO; Riklin, StPO Kommentar, Zürich 2010, N 1 zu Art. 421 StPO). Der vorliegende Beschwerdeentscheid ist kein verfahrens- erledigender Entscheid, sondern stellt einen Rechtsmittelentscheid gegen eine Verfahrenshandlung bzw. verfahrensleitende Verfügung der Staatsanwaltschaft und damit gegen einen Zwischenentscheid im Sinne von Art. 421 Abs. 2 lit. c StPO dar. Gemäss dieser Bestimmung kann die Kostenfestlegung im Rechtsmitte- lentscheid vorweggenommen werden. Gründe, welche vorliegend gegen eine sol- che Vorwegnahme sprechen, sind nicht ersichtlich. Somit ist nachfolgend auch über die Kosten- und Entschädigungsfolgen zu befinden.</w:t>
      </w:r>
    </w:p>
    <w:p>
      <w:r>
        <w:rPr>
          <w:b/>
        </w:rPr>
        <w:t>E. 3.1</w:t>
      </w:r>
    </w:p>
    <w:p>
      <w:r>
        <w:t>Die Kosten des Rechtsmittelverfahrens tragen die Parteien nach Massgabe ihres Obsiegens und Unterliegens (Art. 428 Abs. 1 StPO). Dem Verfahrensaus- gang nach gehen die Kosten des Beschwerdeverfahrens vorliegend zu Lasten der Beschwerdeführer (Art. 428 Abs. 1 StPO). Gestützt auf den geltenden Gebühren- rahmen von Fr. 1'000.– bis Fr. 5'000.– (Art. 8 der Verordnung über die Gerichts- gebühren im Strafverfahren [VGS; BR 350.210]) erscheint vorliegend eine Gebühr von Fr. 2'000.– als angemessen.</w:t>
      </w:r>
    </w:p>
    <w:p>
      <w:r>
        <w:rPr>
          <w:b/>
        </w:rPr>
        <w:t>E. 3.2</w:t>
      </w:r>
    </w:p>
    <w:p>
      <w:r>
        <w:t>Auf Aufforderung hin seitens des Vorsitzenden der zuständigen II. Straf- kammer des Kantonsgerichts von Graubünden (Verfügung vom 17. Oktober 2011) reichten die beiden Beschuldigten bzw. ihre Rechtsvertretungen am 26. Oktober 2011 ihre Stellungnahmen ein und führten darin im Wesentlichen aus, auf die Be- schwerde sei nicht einzutreten. Die beiden Beschuldigten sind folglich für ihre Aufwendungen für das Beschwerdeverfahren zu entschädigen. Aus den Stellung- nahmen wird dabei ersichtlich, dass unterschiedlich grosser Aufwand entstanden ist, weshalb es vorliegend als angemessen erscheint, Z. mit Fr. 1'500.– und Y. mit Fr. 700.– zu entschädigen.</w:t>
      </w:r>
    </w:p>
    <w:p>
      <w:r>
        <w:t>Seite 11 — 12 Für die ausseramtliche Entschädigung im Rechtsmittelverfahren verweist Art. 436 Abs. 1 StPO auf die Art. 429–432 StPO. Das Gesetz sieht in Art. 432 StPO keine allgemeine Entschädigungspflicht der Privatklägerschaft gegenüber der obsiegenden beschuldigten Person vor; die Privatklägerschaft wird nur ent- schädigungspflichtig für Aufwendungen, die durch Anträge zum Zivilpunkt verur- sacht wurden (Abs. 1), oder unter bestimmten Voraussetzungen bei Antragsdelik- ten (Abs. 2). Diese Regelung beruht auf der Überlegung, dass der Staat, dem die Strafverfolgung obliegt, grundsätzlich für die dadurch entstandenen finanziellen Einbussen aufzukommen hat (vgl. Botschaft zur Vereinheitlichung des Strafpro- zessrechts vom 21. Dezember 2005, BBl 2006, 1085 ff., 1331). Sind die Voraus- setzungen für eine Entschädigungspflicht der Privatklägerschaft nicht gegeben, wie dies vorliegend der Fall ist, so verbleibt es damit Sache des Staates, der ob- siegenden beschuldigten Person Entschädigung zu gewähren (vgl. Schmid, Pra- xiskommentar, N 3 zu Art. 432 StPO; ebenso Griesser, in: Do- natsch/Hansjakob/Lieber [Hrsg.], Kommentar zur Schweizerischen Strafprozess- ordnung [StPO], Zürich 2010, N 1 zu Art. 432 StPO). Die Entschädigungen an die Beschwerdegegner gehen somit vorliegend zu Lasten des Kantons Graubünden.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